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B39" w:rsidRDefault="00716B39">
      <w:pPr>
        <w:spacing w:after="0" w:line="276" w:lineRule="auto"/>
        <w:rPr>
          <w:rFonts w:ascii="Golos Text" w:eastAsia="Golos Text" w:hAnsi="Golos Text" w:cs="Golos Text"/>
          <w:b/>
          <w:color w:val="183463"/>
          <w:sz w:val="32"/>
          <w:szCs w:val="32"/>
        </w:rPr>
      </w:pPr>
    </w:p>
    <w:p w:rsidR="00716B39" w:rsidRDefault="000C0CF9">
      <w:pPr>
        <w:spacing w:after="0" w:line="276" w:lineRule="auto"/>
        <w:jc w:val="center"/>
        <w:rPr>
          <w:rFonts w:ascii="Golos Text" w:eastAsia="Golos Text" w:hAnsi="Golos Text" w:cs="Golos Text"/>
          <w:b/>
          <w:color w:val="183463"/>
          <w:sz w:val="28"/>
          <w:szCs w:val="28"/>
        </w:rPr>
      </w:pPr>
      <w:r>
        <w:rPr>
          <w:rFonts w:ascii="Golos Text" w:eastAsia="Golos Text" w:hAnsi="Golos Text" w:cs="Golos Text"/>
          <w:b/>
          <w:color w:val="183463"/>
          <w:sz w:val="38"/>
          <w:szCs w:val="38"/>
        </w:rPr>
        <w:t xml:space="preserve">Raport Demagoga i IMM: </w:t>
      </w:r>
    </w:p>
    <w:p w:rsidR="00716B39" w:rsidRDefault="000C0CF9">
      <w:pPr>
        <w:spacing w:after="0" w:line="276" w:lineRule="auto"/>
        <w:jc w:val="center"/>
        <w:rPr>
          <w:rFonts w:ascii="Golos Text" w:eastAsia="Golos Text" w:hAnsi="Golos Text" w:cs="Golos Text"/>
          <w:b/>
          <w:color w:val="183463"/>
          <w:sz w:val="28"/>
          <w:szCs w:val="28"/>
        </w:rPr>
      </w:pPr>
      <w:r>
        <w:rPr>
          <w:rFonts w:ascii="Golos Text" w:eastAsia="Golos Text" w:hAnsi="Golos Text" w:cs="Golos Text"/>
          <w:b/>
          <w:color w:val="183463"/>
          <w:sz w:val="28"/>
          <w:szCs w:val="28"/>
        </w:rPr>
        <w:t>Antyukraińska propaganda: kwiecień–lipiec 2025</w:t>
      </w:r>
    </w:p>
    <w:p w:rsidR="00716B39" w:rsidRDefault="00716B39">
      <w:pPr>
        <w:spacing w:after="0" w:line="276" w:lineRule="auto"/>
        <w:jc w:val="center"/>
        <w:rPr>
          <w:rFonts w:ascii="Golos Text" w:eastAsia="Golos Text" w:hAnsi="Golos Text" w:cs="Golos Text"/>
          <w:b/>
          <w:color w:val="183463"/>
          <w:sz w:val="28"/>
          <w:szCs w:val="28"/>
        </w:rPr>
      </w:pPr>
    </w:p>
    <w:p w:rsidR="00716B39" w:rsidRDefault="000C0CF9">
      <w:pPr>
        <w:spacing w:after="0" w:line="276" w:lineRule="auto"/>
        <w:jc w:val="center"/>
        <w:rPr>
          <w:rFonts w:ascii="Golos Text" w:eastAsia="Golos Text" w:hAnsi="Golos Text" w:cs="Golos Text"/>
          <w:b/>
          <w:color w:val="183463"/>
          <w:sz w:val="28"/>
          <w:szCs w:val="28"/>
        </w:rPr>
      </w:pPr>
      <w:r>
        <w:rPr>
          <w:rFonts w:ascii="Golos Text" w:eastAsia="Golos Text" w:hAnsi="Golos Text" w:cs="Golos Text"/>
          <w:b/>
          <w:noProof/>
          <w:color w:val="183463"/>
          <w:sz w:val="28"/>
          <w:szCs w:val="28"/>
          <w:lang w:val="pl-PL"/>
        </w:rPr>
        <w:drawing>
          <wp:inline distT="114300" distB="114300" distL="114300" distR="114300" wp14:anchorId="7B68F08F" wp14:editId="03E19C0F">
            <wp:extent cx="6119820" cy="127000"/>
            <wp:effectExtent l="0" t="0" r="0" b="0"/>
            <wp:docPr id="144129454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12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6B39" w:rsidRDefault="00716B39">
      <w:pPr>
        <w:spacing w:after="0" w:line="276" w:lineRule="auto"/>
        <w:jc w:val="both"/>
        <w:rPr>
          <w:rFonts w:ascii="Lora" w:eastAsia="Lora" w:hAnsi="Lora" w:cs="Lora"/>
          <w:b/>
          <w:color w:val="0F3566"/>
          <w:sz w:val="26"/>
          <w:szCs w:val="26"/>
        </w:rPr>
      </w:pPr>
    </w:p>
    <w:p w:rsidR="00716B39" w:rsidRDefault="000C0CF9">
      <w:pPr>
        <w:spacing w:after="0" w:line="276" w:lineRule="auto"/>
        <w:jc w:val="both"/>
        <w:rPr>
          <w:rFonts w:ascii="Lora" w:eastAsia="Lora" w:hAnsi="Lora" w:cs="Lora"/>
          <w:b/>
          <w:color w:val="0F3566"/>
          <w:sz w:val="26"/>
          <w:szCs w:val="26"/>
        </w:rPr>
      </w:pPr>
      <w:r>
        <w:rPr>
          <w:rFonts w:ascii="Lora" w:eastAsia="Lora" w:hAnsi="Lora" w:cs="Lora"/>
          <w:b/>
          <w:color w:val="0F3566"/>
          <w:sz w:val="26"/>
          <w:szCs w:val="26"/>
        </w:rPr>
        <w:t>Grzegorz Braun po raz kolejny znalazł się wśród liderów antyukraińskiej</w:t>
      </w:r>
      <w:r>
        <w:rPr>
          <w:rFonts w:ascii="Lora" w:eastAsia="Lora" w:hAnsi="Lora" w:cs="Lora"/>
          <w:b/>
          <w:color w:val="0F3566"/>
          <w:sz w:val="26"/>
          <w:szCs w:val="26"/>
        </w:rPr>
        <w:t xml:space="preserve"> propagandy w polskojęzycznym </w:t>
      </w:r>
      <w:proofErr w:type="spellStart"/>
      <w:r>
        <w:rPr>
          <w:rFonts w:ascii="Lora" w:eastAsia="Lora" w:hAnsi="Lora" w:cs="Lora"/>
          <w:b/>
          <w:color w:val="0F3566"/>
          <w:sz w:val="26"/>
          <w:szCs w:val="26"/>
        </w:rPr>
        <w:t>internecie</w:t>
      </w:r>
      <w:proofErr w:type="spellEnd"/>
      <w:r>
        <w:rPr>
          <w:rFonts w:ascii="Lora" w:eastAsia="Lora" w:hAnsi="Lora" w:cs="Lora"/>
          <w:b/>
          <w:color w:val="0F3566"/>
          <w:sz w:val="26"/>
          <w:szCs w:val="26"/>
        </w:rPr>
        <w:t xml:space="preserve"> – tak wynika z najnowszego raportu  Demagoga  i  Instytutu  Monitorowania  Mediów.  Między   kwietniem a    lipcem    2025    roku    zidentyfikowano   94   tys.   negatywnych wpisów   uderzających w   Ukraińców,   </w:t>
      </w:r>
      <w:r>
        <w:rPr>
          <w:rFonts w:ascii="Lora" w:eastAsia="Lora" w:hAnsi="Lora" w:cs="Lora"/>
          <w:b/>
          <w:color w:val="0F3566"/>
          <w:sz w:val="26"/>
          <w:szCs w:val="26"/>
        </w:rPr>
        <w:t>które   bazowały   na   fałszywych   narracjach,  strachu i stereotypach.</w:t>
      </w:r>
    </w:p>
    <w:p w:rsidR="00716B39" w:rsidRDefault="00716B3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</w:p>
    <w:p w:rsidR="00716B39" w:rsidRDefault="000C0CF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</w:rPr>
      </w:pPr>
      <w:r>
        <w:rPr>
          <w:rFonts w:ascii="Lora" w:eastAsia="Lora" w:hAnsi="Lora" w:cs="Lora"/>
          <w:color w:val="0F3566"/>
        </w:rPr>
        <w:t xml:space="preserve">Dla porównania: w całym </w:t>
      </w:r>
      <w:hyperlink r:id="rId10">
        <w:r>
          <w:rPr>
            <w:rFonts w:ascii="Lora" w:eastAsia="Lora" w:hAnsi="Lora" w:cs="Lora"/>
            <w:color w:val="1155CC"/>
            <w:u w:val="single"/>
          </w:rPr>
          <w:t>2024</w:t>
        </w:r>
      </w:hyperlink>
      <w:r>
        <w:rPr>
          <w:rFonts w:ascii="Lora" w:eastAsia="Lora" w:hAnsi="Lora" w:cs="Lora"/>
          <w:color w:val="0F3566"/>
        </w:rPr>
        <w:t xml:space="preserve"> roku – przy zastosowaniu tej samej metodologii</w:t>
      </w:r>
      <w:r>
        <w:rPr>
          <w:rFonts w:ascii="Lora" w:eastAsia="Lora" w:hAnsi="Lora" w:cs="Lora"/>
          <w:color w:val="1155CC"/>
        </w:rPr>
        <w:t xml:space="preserve"> </w:t>
      </w:r>
      <w:r>
        <w:rPr>
          <w:rFonts w:ascii="Lora" w:eastAsia="Lora" w:hAnsi="Lora" w:cs="Lora"/>
          <w:color w:val="0F3566"/>
        </w:rPr>
        <w:t xml:space="preserve">– odnotowano 326 962 posty tego rodzaju. Zmierzono też skalę oddziaływania zidentyfikowanych treści: szacowana liczba kontaktów z tymi publikacjami </w:t>
      </w:r>
      <w:r>
        <w:rPr>
          <w:rFonts w:ascii="Lora" w:eastAsia="Lora" w:hAnsi="Lora" w:cs="Lora"/>
          <w:b/>
          <w:color w:val="0F3566"/>
        </w:rPr>
        <w:t>w badanych 4 miesiącach wyniosła 32,5 mln</w:t>
      </w:r>
      <w:r>
        <w:rPr>
          <w:rFonts w:ascii="Lora" w:eastAsia="Lora" w:hAnsi="Lora" w:cs="Lora"/>
          <w:color w:val="0F3566"/>
        </w:rPr>
        <w:t>, co oznacza, że st</w:t>
      </w:r>
      <w:r>
        <w:rPr>
          <w:rFonts w:ascii="Lora" w:eastAsia="Lora" w:hAnsi="Lora" w:cs="Lora"/>
          <w:color w:val="0F3566"/>
        </w:rPr>
        <w:t>atystyczna osoba w wieku od 15 r. ż.  mogła mieć kontakt z antyukraińskimi treściami minimum jeden raz. W całym 2024 roku zasięg negatywnych publikacji osiągnął wartość 75 mln kontaktów z przekazem.</w:t>
      </w:r>
    </w:p>
    <w:p w:rsidR="00716B39" w:rsidRDefault="000C0CF9">
      <w:pPr>
        <w:spacing w:before="240" w:after="240" w:line="276" w:lineRule="auto"/>
        <w:jc w:val="both"/>
        <w:rPr>
          <w:rFonts w:ascii="Golos Text" w:eastAsia="Golos Text" w:hAnsi="Golos Text" w:cs="Golos Text"/>
          <w:b/>
          <w:color w:val="183463"/>
          <w:highlight w:val="yellow"/>
        </w:rPr>
      </w:pPr>
      <w:r>
        <w:rPr>
          <w:rFonts w:ascii="Golos Text" w:eastAsia="Golos Text" w:hAnsi="Golos Text" w:cs="Golos Text"/>
          <w:b/>
          <w:color w:val="183463"/>
        </w:rPr>
        <w:t>Kto stoi za</w:t>
      </w:r>
      <w:r>
        <w:rPr>
          <w:rFonts w:ascii="Arial" w:eastAsia="Arial" w:hAnsi="Arial" w:cs="Arial"/>
          <w:b/>
          <w:sz w:val="30"/>
          <w:szCs w:val="30"/>
        </w:rPr>
        <w:t xml:space="preserve"> </w:t>
      </w:r>
      <w:r>
        <w:rPr>
          <w:rFonts w:ascii="Golos Text" w:eastAsia="Golos Text" w:hAnsi="Golos Text" w:cs="Golos Text"/>
          <w:b/>
          <w:color w:val="183463"/>
        </w:rPr>
        <w:t>dezinformacją? Braun na niechlubnym podium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Na</w:t>
      </w:r>
      <w:r>
        <w:rPr>
          <w:rFonts w:ascii="Lora" w:eastAsia="Lora" w:hAnsi="Lora" w:cs="Lora"/>
          <w:color w:val="0F3566"/>
        </w:rPr>
        <w:t>jwięcej antyukraińskich treści (92,2 proc.) opublikowano na platformie X., 1,1 proc. wpisów ukazało się na Facebooku, a pozostałe 6,7 proc. postów – na innych platformach.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 xml:space="preserve">Wśród najaktywniejszych kont w serwisie X znalazły się m.in. Martin </w:t>
      </w:r>
      <w:proofErr w:type="spellStart"/>
      <w:r>
        <w:rPr>
          <w:rFonts w:ascii="Lora" w:eastAsia="Lora" w:hAnsi="Lora" w:cs="Lora"/>
          <w:color w:val="0F3566"/>
        </w:rPr>
        <w:t>Demirow</w:t>
      </w:r>
      <w:proofErr w:type="spellEnd"/>
      <w:r>
        <w:rPr>
          <w:rFonts w:ascii="Lora" w:eastAsia="Lora" w:hAnsi="Lora" w:cs="Lora"/>
          <w:color w:val="0F3566"/>
        </w:rPr>
        <w:t>, Ministe</w:t>
      </w:r>
      <w:r>
        <w:rPr>
          <w:rFonts w:ascii="Lora" w:eastAsia="Lora" w:hAnsi="Lora" w:cs="Lora"/>
          <w:color w:val="0F3566"/>
        </w:rPr>
        <w:t xml:space="preserve">rstwo Prawdy oraz profil </w:t>
      </w:r>
      <w:r>
        <w:rPr>
          <w:rFonts w:ascii="Lora" w:eastAsia="Lora" w:hAnsi="Lora" w:cs="Lora"/>
          <w:b/>
          <w:color w:val="0F3566"/>
        </w:rPr>
        <w:t>europarlamentarzysty Grzegorza Brauna</w:t>
      </w:r>
      <w:r>
        <w:rPr>
          <w:rFonts w:ascii="Lora" w:eastAsia="Lora" w:hAnsi="Lora" w:cs="Lora"/>
          <w:color w:val="0F3566"/>
        </w:rPr>
        <w:t>. Ponad połowa z kont odnotowanych w 4 miesiącach br. znajdowała się także w zestawieniu z 2024 roku.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  <w:highlight w:val="white"/>
        </w:rPr>
      </w:pPr>
      <w:r>
        <w:rPr>
          <w:rFonts w:ascii="Lora" w:eastAsia="Lora" w:hAnsi="Lora" w:cs="Lora"/>
          <w:color w:val="0F3566"/>
        </w:rPr>
        <w:t>Również na Facebooku wyróżniono najpopularniejsze konta powielające antyukraińską propagandę</w:t>
      </w:r>
      <w:r>
        <w:rPr>
          <w:rFonts w:ascii="Lora" w:eastAsia="Lora" w:hAnsi="Lora" w:cs="Lora"/>
          <w:color w:val="0F3566"/>
        </w:rPr>
        <w:t>.</w:t>
      </w:r>
      <w:r>
        <w:rPr>
          <w:rFonts w:ascii="Lora" w:eastAsia="Lora" w:hAnsi="Lora" w:cs="Lora"/>
          <w:b/>
          <w:color w:val="0F3566"/>
        </w:rPr>
        <w:t xml:space="preserve"> Na pierwszym miejscu znalazł się Grzegorz Braun, a drugą pozycję zajął oficjalny fanpage partii Konfederacja Korony Polskiej</w:t>
      </w:r>
      <w:r>
        <w:rPr>
          <w:rFonts w:ascii="Lora" w:eastAsia="Lora" w:hAnsi="Lora" w:cs="Lora"/>
          <w:color w:val="0F3566"/>
        </w:rPr>
        <w:t>. Konto o nazwie „Ukrainiec nie jest moim bratem”, które uplasowało się na trzecim miejscu, nie jest już dostępne.</w:t>
      </w:r>
    </w:p>
    <w:p w:rsidR="00716B39" w:rsidRDefault="000C0CF9">
      <w:pPr>
        <w:spacing w:before="240" w:after="240" w:line="276" w:lineRule="auto"/>
        <w:jc w:val="both"/>
        <w:rPr>
          <w:rFonts w:ascii="Golos Text" w:eastAsia="Golos Text" w:hAnsi="Golos Text" w:cs="Golos Text"/>
          <w:b/>
          <w:color w:val="183463"/>
          <w:sz w:val="14"/>
          <w:szCs w:val="14"/>
          <w:highlight w:val="white"/>
        </w:rPr>
      </w:pPr>
      <w:r>
        <w:rPr>
          <w:rFonts w:ascii="Golos Text" w:eastAsia="Golos Text" w:hAnsi="Golos Text" w:cs="Golos Text"/>
          <w:b/>
          <w:color w:val="183463"/>
        </w:rPr>
        <w:t xml:space="preserve">Rola </w:t>
      </w:r>
      <w:proofErr w:type="spellStart"/>
      <w:r>
        <w:rPr>
          <w:rFonts w:ascii="Golos Text" w:eastAsia="Golos Text" w:hAnsi="Golos Text" w:cs="Golos Text"/>
          <w:b/>
          <w:color w:val="183463"/>
        </w:rPr>
        <w:t>chatbota</w:t>
      </w:r>
      <w:proofErr w:type="spellEnd"/>
      <w:r>
        <w:rPr>
          <w:rFonts w:ascii="Golos Text" w:eastAsia="Golos Text" w:hAnsi="Golos Text" w:cs="Golos Text"/>
          <w:b/>
          <w:color w:val="183463"/>
        </w:rPr>
        <w:t xml:space="preserve"> G</w:t>
      </w:r>
      <w:r>
        <w:rPr>
          <w:rFonts w:ascii="Golos Text" w:eastAsia="Golos Text" w:hAnsi="Golos Text" w:cs="Golos Text"/>
          <w:b/>
          <w:color w:val="183463"/>
        </w:rPr>
        <w:t>ROK i jego aktualizacja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 xml:space="preserve">W analizowanym okresie zadebiutował GROK, który w 4 miesiące opublikował </w:t>
      </w:r>
      <w:r>
        <w:rPr>
          <w:rFonts w:ascii="Lora" w:eastAsia="Lora" w:hAnsi="Lora" w:cs="Lora"/>
          <w:b/>
          <w:color w:val="0F3566"/>
        </w:rPr>
        <w:t>265 wpisów</w:t>
      </w:r>
      <w:r>
        <w:rPr>
          <w:rFonts w:ascii="Lora" w:eastAsia="Lora" w:hAnsi="Lora" w:cs="Lora"/>
          <w:color w:val="0F3566"/>
        </w:rPr>
        <w:t xml:space="preserve"> zawierających wytypowane przez nas słowa kluczowe. W ramach lipcowej aktualizacji </w:t>
      </w:r>
      <w:proofErr w:type="spellStart"/>
      <w:r>
        <w:rPr>
          <w:rFonts w:ascii="Lora" w:eastAsia="Lora" w:hAnsi="Lora" w:cs="Lora"/>
          <w:color w:val="0F3566"/>
        </w:rPr>
        <w:t>chatbot</w:t>
      </w:r>
      <w:proofErr w:type="spellEnd"/>
      <w:r>
        <w:rPr>
          <w:rFonts w:ascii="Lora" w:eastAsia="Lora" w:hAnsi="Lora" w:cs="Lora"/>
          <w:color w:val="0F3566"/>
        </w:rPr>
        <w:t xml:space="preserve"> dostał polecenie, by „nie unikać wygłaszania twierdzeń, kt</w:t>
      </w:r>
      <w:r>
        <w:rPr>
          <w:rFonts w:ascii="Lora" w:eastAsia="Lora" w:hAnsi="Lora" w:cs="Lora"/>
          <w:color w:val="0F3566"/>
        </w:rPr>
        <w:t xml:space="preserve">óre są politycznie niepoprawne”. Wcześniej natomiast podważał tezy o „ukrainizacji Polski” i wskazywał rosyjskie źródła </w:t>
      </w:r>
      <w:bookmarkStart w:id="0" w:name="_GoBack"/>
      <w:bookmarkEnd w:id="0"/>
      <w:r>
        <w:rPr>
          <w:rFonts w:ascii="Lora" w:eastAsia="Lora" w:hAnsi="Lora" w:cs="Lora"/>
          <w:color w:val="0F3566"/>
        </w:rPr>
        <w:lastRenderedPageBreak/>
        <w:t xml:space="preserve">niektórych   narracji.   Po   aktualizacji   m.in.   </w:t>
      </w:r>
      <w:r>
        <w:rPr>
          <w:rFonts w:ascii="Lora" w:eastAsia="Lora" w:hAnsi="Lora" w:cs="Lora"/>
          <w:b/>
          <w:color w:val="0F3566"/>
        </w:rPr>
        <w:t>określał  Grzegorza  Brauna  jako  „giga-</w:t>
      </w:r>
      <w:proofErr w:type="spellStart"/>
      <w:r>
        <w:rPr>
          <w:rFonts w:ascii="Lora" w:eastAsia="Lora" w:hAnsi="Lora" w:cs="Lora"/>
          <w:b/>
          <w:color w:val="0F3566"/>
        </w:rPr>
        <w:t>chada</w:t>
      </w:r>
      <w:proofErr w:type="spellEnd"/>
      <w:r>
        <w:rPr>
          <w:rFonts w:ascii="Lora" w:eastAsia="Lora" w:hAnsi="Lora" w:cs="Lora"/>
          <w:b/>
          <w:color w:val="0F3566"/>
        </w:rPr>
        <w:t xml:space="preserve"> w odwadze”</w:t>
      </w:r>
      <w:r>
        <w:rPr>
          <w:rFonts w:ascii="Lora" w:eastAsia="Lora" w:hAnsi="Lora" w:cs="Lora"/>
          <w:color w:val="0F3566"/>
        </w:rPr>
        <w:t>.</w:t>
      </w:r>
    </w:p>
    <w:p w:rsidR="00716B39" w:rsidRDefault="000C0CF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  <w:highlight w:val="white"/>
        </w:rPr>
      </w:pPr>
      <w:r>
        <w:rPr>
          <w:rFonts w:ascii="Golos Text" w:eastAsia="Golos Text" w:hAnsi="Golos Text" w:cs="Golos Text"/>
          <w:b/>
          <w:color w:val="183463"/>
        </w:rPr>
        <w:t>Budowanie negatywnego wizerunku Ukraińców w Polsce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 xml:space="preserve">Wśród głównych propagatorów antyukraińskich narracji na platformie X znalazł się Martin </w:t>
      </w:r>
      <w:proofErr w:type="spellStart"/>
      <w:r>
        <w:rPr>
          <w:rFonts w:ascii="Lora" w:eastAsia="Lora" w:hAnsi="Lora" w:cs="Lora"/>
          <w:color w:val="0F3566"/>
        </w:rPr>
        <w:t>Demirow</w:t>
      </w:r>
      <w:proofErr w:type="spellEnd"/>
      <w:r>
        <w:rPr>
          <w:rFonts w:ascii="Lora" w:eastAsia="Lora" w:hAnsi="Lora" w:cs="Lora"/>
          <w:color w:val="0F3566"/>
        </w:rPr>
        <w:t>, który konsekwentnie nazywał Ukraińców nazistami, chwalił działania rosyjskiej armii i negował zbrodnie w Buc</w:t>
      </w:r>
      <w:r>
        <w:rPr>
          <w:rFonts w:ascii="Lora" w:eastAsia="Lora" w:hAnsi="Lora" w:cs="Lora"/>
          <w:color w:val="0F3566"/>
        </w:rPr>
        <w:t xml:space="preserve">zy. Eksperci Polskiego Instytutu Spraw Międzynarodowych </w:t>
      </w:r>
      <w:hyperlink r:id="rId11">
        <w:r>
          <w:rPr>
            <w:rFonts w:ascii="Lora" w:eastAsia="Lora" w:hAnsi="Lora" w:cs="Lora"/>
            <w:color w:val="1155CC"/>
            <w:u w:val="single"/>
          </w:rPr>
          <w:t>wskazują</w:t>
        </w:r>
      </w:hyperlink>
      <w:r>
        <w:rPr>
          <w:rFonts w:ascii="Lora" w:eastAsia="Lora" w:hAnsi="Lora" w:cs="Lora"/>
          <w:color w:val="0F3566"/>
        </w:rPr>
        <w:t>, że takie dyskursy są kluczowym elementem prorosyjskiej dezinformac</w:t>
      </w:r>
      <w:r>
        <w:rPr>
          <w:rFonts w:ascii="Lora" w:eastAsia="Lora" w:hAnsi="Lora" w:cs="Lora"/>
          <w:color w:val="0F3566"/>
        </w:rPr>
        <w:t xml:space="preserve">ji. 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Uwagę przykuwała także kampania wyborcza Grzegorza Brauna, w której regularnie używano obraźliwych określeń („</w:t>
      </w:r>
      <w:proofErr w:type="spellStart"/>
      <w:r>
        <w:rPr>
          <w:rFonts w:ascii="Lora" w:eastAsia="Lora" w:hAnsi="Lora" w:cs="Lora"/>
          <w:color w:val="0F3566"/>
        </w:rPr>
        <w:t>Ukropol</w:t>
      </w:r>
      <w:proofErr w:type="spellEnd"/>
      <w:r>
        <w:rPr>
          <w:rFonts w:ascii="Lora" w:eastAsia="Lora" w:hAnsi="Lora" w:cs="Lora"/>
          <w:color w:val="0F3566"/>
        </w:rPr>
        <w:t>”, „</w:t>
      </w:r>
      <w:proofErr w:type="spellStart"/>
      <w:r>
        <w:rPr>
          <w:rFonts w:ascii="Lora" w:eastAsia="Lora" w:hAnsi="Lora" w:cs="Lora"/>
          <w:color w:val="0F3566"/>
        </w:rPr>
        <w:t>Banderland</w:t>
      </w:r>
      <w:proofErr w:type="spellEnd"/>
      <w:r>
        <w:rPr>
          <w:rFonts w:ascii="Lora" w:eastAsia="Lora" w:hAnsi="Lora" w:cs="Lora"/>
          <w:color w:val="0F3566"/>
        </w:rPr>
        <w:t>”, „Eurokołchoz”). Braun tworzył fałszywą narrację między sojuszem z Ukrainą a patriotyczną postawą wobec Polski. Ponadt</w:t>
      </w:r>
      <w:r>
        <w:rPr>
          <w:rFonts w:ascii="Lora" w:eastAsia="Lora" w:hAnsi="Lora" w:cs="Lora"/>
          <w:color w:val="0F3566"/>
        </w:rPr>
        <w:t xml:space="preserve">o fałszywie twierdził, że trwają przygotowania Wojska Polskiego do interwencji. 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b/>
          <w:color w:val="0F3566"/>
          <w:highlight w:val="white"/>
        </w:rPr>
      </w:pPr>
      <w:r>
        <w:rPr>
          <w:rFonts w:ascii="Lora" w:eastAsia="Lora" w:hAnsi="Lora" w:cs="Lora"/>
          <w:color w:val="0F3566"/>
        </w:rPr>
        <w:t xml:space="preserve">Wiele   źródeł   propagandy   wykorzystywało   pojedyncze  przypadki  </w:t>
      </w:r>
      <w:proofErr w:type="spellStart"/>
      <w:r>
        <w:rPr>
          <w:rFonts w:ascii="Lora" w:eastAsia="Lora" w:hAnsi="Lora" w:cs="Lora"/>
          <w:color w:val="0F3566"/>
        </w:rPr>
        <w:t>zachowań</w:t>
      </w:r>
      <w:proofErr w:type="spellEnd"/>
      <w:r>
        <w:rPr>
          <w:rFonts w:ascii="Lora" w:eastAsia="Lora" w:hAnsi="Lora" w:cs="Lora"/>
          <w:color w:val="0F3566"/>
        </w:rPr>
        <w:t xml:space="preserve">  Ukraińców w  Polsce,  by  kreować  negatywny  obraz  całej  społeczności  (takie  treści  publi</w:t>
      </w:r>
      <w:r>
        <w:rPr>
          <w:rFonts w:ascii="Lora" w:eastAsia="Lora" w:hAnsi="Lora" w:cs="Lora"/>
          <w:color w:val="0F3566"/>
        </w:rPr>
        <w:t xml:space="preserve">kowano np. w serwisie </w:t>
      </w:r>
      <w:proofErr w:type="spellStart"/>
      <w:r>
        <w:rPr>
          <w:rFonts w:ascii="Lora" w:eastAsia="Lora" w:hAnsi="Lora" w:cs="Lora"/>
          <w:color w:val="0F3566"/>
        </w:rPr>
        <w:t>Magna</w:t>
      </w:r>
      <w:proofErr w:type="spellEnd"/>
      <w:r>
        <w:rPr>
          <w:rFonts w:ascii="Lora" w:eastAsia="Lora" w:hAnsi="Lora" w:cs="Lora"/>
          <w:color w:val="0F3566"/>
        </w:rPr>
        <w:t xml:space="preserve"> Polonia). Dezinformacja dotyczyła też edukacji – Ruch Narodowy fałszywie twierdził, że ministra Barbara Nowacka miała popierać wprowadzenie języka ukraińskiego jako drugiego języka obcego w polskich szkołach.</w:t>
      </w:r>
    </w:p>
    <w:p w:rsidR="00716B39" w:rsidRDefault="000C0CF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  <w:sz w:val="14"/>
          <w:szCs w:val="14"/>
          <w:highlight w:val="white"/>
        </w:rPr>
      </w:pPr>
      <w:r>
        <w:rPr>
          <w:rFonts w:ascii="Golos Text" w:eastAsia="Golos Text" w:hAnsi="Golos Text" w:cs="Golos Text"/>
          <w:b/>
          <w:color w:val="183463"/>
        </w:rPr>
        <w:t>Propaganda napędzan</w:t>
      </w:r>
      <w:r>
        <w:rPr>
          <w:rFonts w:ascii="Golos Text" w:eastAsia="Golos Text" w:hAnsi="Golos Text" w:cs="Golos Text"/>
          <w:b/>
          <w:color w:val="183463"/>
        </w:rPr>
        <w:t>a wydarzeniami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Analiza pokazuje, że narracje zbieżne z przekazem Kremla szczególnie nasilają się przy okazji ważnych wydarzeń. Wzmożoną aktywność dezinformacyjną odnotowano m.in. w trzech okolicznościach:</w:t>
      </w:r>
    </w:p>
    <w:p w:rsidR="00716B39" w:rsidRDefault="000C0CF9">
      <w:pPr>
        <w:numPr>
          <w:ilvl w:val="0"/>
          <w:numId w:val="1"/>
        </w:numPr>
        <w:spacing w:before="240" w:after="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kampania prezydencka – w tym czasie nasiliła się na</w:t>
      </w:r>
      <w:r>
        <w:rPr>
          <w:rFonts w:ascii="Lora" w:eastAsia="Lora" w:hAnsi="Lora" w:cs="Lora"/>
          <w:color w:val="0F3566"/>
        </w:rPr>
        <w:t>rracja o „uległości polskich polityków wobec Ukraińców”;</w:t>
      </w:r>
    </w:p>
    <w:p w:rsidR="00716B39" w:rsidRDefault="000C0CF9">
      <w:pPr>
        <w:numPr>
          <w:ilvl w:val="0"/>
          <w:numId w:val="1"/>
        </w:numPr>
        <w:spacing w:after="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rocznica krwawej niedzieli na Wołyniu – wykorzystywana do utożsamiania współczesnych Ukraińców ze zbrodniarzami sprzed dekad i do krytykowania polskiego wsparcia dla Kijowa;</w:t>
      </w:r>
    </w:p>
    <w:p w:rsidR="00716B39" w:rsidRDefault="000C0CF9">
      <w:pPr>
        <w:numPr>
          <w:ilvl w:val="0"/>
          <w:numId w:val="1"/>
        </w:numPr>
        <w:spacing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podpisanie przez prezydenta Ukrainy ustawy ograniczającej niezależność służb antykorupcyjnych, co stało się kolejnym pretekstem do wzmocnienia narracji antyukraińskich.</w:t>
      </w:r>
    </w:p>
    <w:p w:rsidR="00716B39" w:rsidRDefault="000C0CF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</w:rPr>
      </w:pPr>
      <w:r>
        <w:rPr>
          <w:rFonts w:ascii="Golos Text" w:eastAsia="Golos Text" w:hAnsi="Golos Text" w:cs="Golos Text"/>
          <w:b/>
          <w:color w:val="183463"/>
        </w:rPr>
        <w:t>Propaganda zmienia nastroje Polaków</w:t>
      </w:r>
    </w:p>
    <w:p w:rsidR="00716B39" w:rsidRDefault="00716B3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</w:rPr>
      </w:pPr>
    </w:p>
    <w:p w:rsidR="00716B39" w:rsidRDefault="000C0CF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 xml:space="preserve">Antyukraińska propaganda sprzyja narastaniu </w:t>
      </w:r>
      <w:hyperlink r:id="rId12">
        <w:r>
          <w:rPr>
            <w:rFonts w:ascii="Lora" w:eastAsia="Lora" w:hAnsi="Lora" w:cs="Lora"/>
            <w:color w:val="1155CC"/>
            <w:u w:val="single"/>
          </w:rPr>
          <w:t>napięć społecznych</w:t>
        </w:r>
      </w:hyperlink>
      <w:r>
        <w:rPr>
          <w:rFonts w:ascii="Lora" w:eastAsia="Lora" w:hAnsi="Lora" w:cs="Lora"/>
          <w:color w:val="0F3566"/>
        </w:rPr>
        <w:t>. Z badań CBOS opublikowanych w lutym br. wynika, że sympatię wobec Ukraińców deklaruje jedynie</w:t>
      </w:r>
      <w:hyperlink r:id="rId13">
        <w:r>
          <w:rPr>
            <w:rFonts w:ascii="Lora" w:eastAsia="Lora" w:hAnsi="Lora" w:cs="Lora"/>
            <w:color w:val="1155CC"/>
            <w:u w:val="single"/>
          </w:rPr>
          <w:t xml:space="preserve"> 30 proc.</w:t>
        </w:r>
      </w:hyperlink>
      <w:r>
        <w:rPr>
          <w:rFonts w:ascii="Lora" w:eastAsia="Lora" w:hAnsi="Lora" w:cs="Lora"/>
          <w:color w:val="0F3566"/>
        </w:rPr>
        <w:t xml:space="preserve"> P</w:t>
      </w:r>
      <w:r>
        <w:rPr>
          <w:rFonts w:ascii="Lora" w:eastAsia="Lora" w:hAnsi="Lora" w:cs="Lora"/>
          <w:color w:val="0F3566"/>
        </w:rPr>
        <w:t xml:space="preserve">olaków – o 10 punktów proc. mniej niż rok wcześniej. Równocześnie rośnie odsetek osób odczuwających niechęć do Ukraińców, który sięgnął już 38 proc. (wzrost o 8 punktów proc.). </w:t>
      </w:r>
    </w:p>
    <w:p w:rsidR="00716B39" w:rsidRDefault="00716B3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</w:p>
    <w:p w:rsidR="00716B39" w:rsidRDefault="000C0CF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 xml:space="preserve">„Antyukraińskie   narracje   oparte  na  strachu  i  stereotypach  nasilają  </w:t>
      </w:r>
      <w:r>
        <w:rPr>
          <w:rFonts w:ascii="Lora" w:eastAsia="Lora" w:hAnsi="Lora" w:cs="Lora"/>
          <w:color w:val="0F3566"/>
        </w:rPr>
        <w:t xml:space="preserve">napięcia  społeczne. W odpowiedzi, po raz ósmy we współpracy z Instytutem Monitorowania Mediów, przeanalizowaliśmy dokładnie dezinformację – jej główne źródła, trendy i motywy – aby </w:t>
      </w:r>
      <w:r>
        <w:rPr>
          <w:rFonts w:ascii="Lora" w:eastAsia="Lora" w:hAnsi="Lora" w:cs="Lora"/>
          <w:color w:val="0F3566"/>
        </w:rPr>
        <w:lastRenderedPageBreak/>
        <w:t>wspierać budowanie odporności informacyjnej społeczeństwa” – mówi analityk</w:t>
      </w:r>
      <w:r>
        <w:rPr>
          <w:rFonts w:ascii="Lora" w:eastAsia="Lora" w:hAnsi="Lora" w:cs="Lora"/>
          <w:color w:val="0F3566"/>
        </w:rPr>
        <w:t xml:space="preserve"> Demagoga i współtwórca raportu, Marcin Fic.</w:t>
      </w:r>
    </w:p>
    <w:p w:rsidR="00716B39" w:rsidRDefault="00716B3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</w:p>
    <w:p w:rsidR="00716B39" w:rsidRDefault="000C0CF9">
      <w:pPr>
        <w:spacing w:after="0" w:line="276" w:lineRule="auto"/>
        <w:jc w:val="both"/>
        <w:rPr>
          <w:rFonts w:ascii="Golos Text" w:eastAsia="Golos Text" w:hAnsi="Golos Text" w:cs="Golos Text"/>
          <w:b/>
          <w:color w:val="183463"/>
        </w:rPr>
      </w:pPr>
      <w:r>
        <w:rPr>
          <w:rFonts w:ascii="Golos Text" w:eastAsia="Golos Text" w:hAnsi="Golos Text" w:cs="Golos Text"/>
          <w:b/>
          <w:color w:val="183463"/>
        </w:rPr>
        <w:t>O raporcie</w:t>
      </w:r>
    </w:p>
    <w:p w:rsidR="00716B39" w:rsidRDefault="00716B39">
      <w:pPr>
        <w:spacing w:after="0" w:line="276" w:lineRule="auto"/>
        <w:jc w:val="both"/>
        <w:rPr>
          <w:rFonts w:ascii="Arial" w:eastAsia="Arial" w:hAnsi="Arial" w:cs="Arial"/>
          <w:b/>
          <w:sz w:val="30"/>
          <w:szCs w:val="30"/>
        </w:rPr>
      </w:pPr>
    </w:p>
    <w:p w:rsidR="00716B39" w:rsidRDefault="000C0CF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color w:val="0F3566"/>
        </w:rPr>
        <w:t>To 8. raport Stowarzyszenia Demagog i Instytutu Monitorowania Mediów (IMM) poświęcony analizie antyukraińskiej</w:t>
      </w:r>
      <w:r>
        <w:rPr>
          <w:rFonts w:ascii="Lora" w:eastAsia="Lora" w:hAnsi="Lora" w:cs="Lora"/>
          <w:color w:val="0F3566"/>
        </w:rPr>
        <w:t xml:space="preserve"> propagandy w polskim </w:t>
      </w:r>
      <w:proofErr w:type="spellStart"/>
      <w:r>
        <w:rPr>
          <w:rFonts w:ascii="Lora" w:eastAsia="Lora" w:hAnsi="Lora" w:cs="Lora"/>
          <w:color w:val="0F3566"/>
        </w:rPr>
        <w:t>internecie</w:t>
      </w:r>
      <w:proofErr w:type="spellEnd"/>
      <w:r>
        <w:rPr>
          <w:rFonts w:ascii="Lora" w:eastAsia="Lora" w:hAnsi="Lora" w:cs="Lora"/>
          <w:color w:val="0F3566"/>
        </w:rPr>
        <w:t>. Monitorowano 18 słów kluczowych najczęściej używanych w tego typu narracjach (m.in. „banderowiec”, „</w:t>
      </w:r>
      <w:proofErr w:type="spellStart"/>
      <w:r>
        <w:rPr>
          <w:rFonts w:ascii="Lora" w:eastAsia="Lora" w:hAnsi="Lora" w:cs="Lora"/>
          <w:color w:val="0F3566"/>
        </w:rPr>
        <w:t>Ukry</w:t>
      </w:r>
      <w:proofErr w:type="spellEnd"/>
      <w:r>
        <w:rPr>
          <w:rFonts w:ascii="Lora" w:eastAsia="Lora" w:hAnsi="Lora" w:cs="Lora"/>
          <w:color w:val="0F3566"/>
        </w:rPr>
        <w:t xml:space="preserve">” czy hasła typu „Stop  ukrainizacji  Polski”)  –  w  serwisie  X,  na  Facebooku,   Instagramie  i  </w:t>
      </w:r>
      <w:proofErr w:type="spellStart"/>
      <w:r>
        <w:rPr>
          <w:rFonts w:ascii="Lora" w:eastAsia="Lora" w:hAnsi="Lora" w:cs="Lora"/>
          <w:color w:val="0F3566"/>
        </w:rPr>
        <w:t>YouTubie</w:t>
      </w:r>
      <w:proofErr w:type="spellEnd"/>
      <w:r>
        <w:rPr>
          <w:rFonts w:ascii="Lora" w:eastAsia="Lora" w:hAnsi="Lora" w:cs="Lora"/>
          <w:color w:val="0F3566"/>
        </w:rPr>
        <w:t xml:space="preserve">  oraz na</w:t>
      </w:r>
      <w:r>
        <w:rPr>
          <w:rFonts w:ascii="Lora" w:eastAsia="Lora" w:hAnsi="Lora" w:cs="Lora"/>
          <w:color w:val="0F3566"/>
        </w:rPr>
        <w:t xml:space="preserve"> forach.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b/>
          <w:color w:val="0F3566"/>
        </w:rPr>
      </w:pPr>
      <w:r>
        <w:rPr>
          <w:rFonts w:ascii="Lora" w:eastAsia="Lora" w:hAnsi="Lora" w:cs="Lora"/>
          <w:b/>
          <w:color w:val="0F3566"/>
        </w:rPr>
        <w:t xml:space="preserve">Od kwietnia do lipca 2025 roku zidentyfikowano 94 058 wpisów zawierających monitorowane słowa kluczowe. Treści te mogły dotrzeć łącznie do 32,5 mln odbiorców. </w:t>
      </w:r>
      <w:r>
        <w:rPr>
          <w:rFonts w:ascii="Lora" w:eastAsia="Lora" w:hAnsi="Lora" w:cs="Lora"/>
          <w:color w:val="0F3566"/>
        </w:rPr>
        <w:t xml:space="preserve">Liczbę kontaktów oszacowano na podstawie odsłon i zasięgów w mediach społecznościowych. </w:t>
      </w:r>
      <w:r>
        <w:rPr>
          <w:rFonts w:ascii="Lora" w:eastAsia="Lora" w:hAnsi="Lora" w:cs="Lora"/>
          <w:b/>
          <w:color w:val="0F3566"/>
        </w:rPr>
        <w:t>Wartość ekwiwalentu reklamowego tych treści eksperci IMM oszacowali na 12 mln zł.</w:t>
      </w:r>
    </w:p>
    <w:sdt>
      <w:sdtPr>
        <w:tag w:val="goog_rdk_3"/>
        <w:id w:val="-589087211"/>
      </w:sdtPr>
      <w:sdtEndPr/>
      <w:sdtContent>
        <w:p w:rsidR="00716B39" w:rsidRPr="00347B19" w:rsidRDefault="000C0CF9">
          <w:pPr>
            <w:spacing w:before="240" w:after="24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1"/>
              <w:id w:val="1062266144"/>
            </w:sdtPr>
            <w:sdtEndPr/>
            <w:sdtContent>
              <w:sdt>
                <w:sdtPr>
                  <w:tag w:val="goog_rdk_2"/>
                  <w:id w:val="-314986128"/>
                </w:sdtPr>
                <w:sdtEndPr/>
                <w:sdtContent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Jak zauważa Monika </w:t>
                  </w:r>
                  <w:proofErr w:type="spellStart"/>
                  <w:r w:rsidRPr="00347B19">
                    <w:rPr>
                      <w:rFonts w:ascii="Lora" w:eastAsia="Lora" w:hAnsi="Lora" w:cs="Lora"/>
                      <w:color w:val="0F3566"/>
                    </w:rPr>
                    <w:t>Ezman</w:t>
                  </w:r>
                  <w:proofErr w:type="spellEnd"/>
                  <w:r w:rsidRPr="00347B19">
                    <w:rPr>
                      <w:rFonts w:ascii="Lora" w:eastAsia="Lora" w:hAnsi="Lora" w:cs="Lora"/>
                      <w:color w:val="0F3566"/>
                    </w:rPr>
                    <w:t>, dyrektorka Centrum Zarządzania Jakością i Działu Analiz w Instytucie Monitorowania Mediów:</w:t>
                  </w:r>
                </w:sdtContent>
              </w:sdt>
            </w:sdtContent>
          </w:sdt>
        </w:p>
      </w:sdtContent>
    </w:sdt>
    <w:sdt>
      <w:sdtPr>
        <w:tag w:val="goog_rdk_6"/>
        <w:id w:val="822505773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4"/>
              <w:id w:val="174638121"/>
            </w:sdtPr>
            <w:sdtEndPr/>
            <w:sdtContent>
              <w:sdt>
                <w:sdtPr>
                  <w:tag w:val="goog_rdk_5"/>
                  <w:id w:val="1129497972"/>
                </w:sdtPr>
                <w:sdtEndPr/>
                <w:sdtContent>
                  <w:r w:rsidRPr="00347B19">
                    <w:rPr>
                      <w:rFonts w:ascii="Lora" w:eastAsia="Lora" w:hAnsi="Lora" w:cs="Lora"/>
                      <w:color w:val="0F3566"/>
                    </w:rPr>
                    <w:t>„W dyskusjach o Ukrainie w mediach społecznościowyc</w:t>
                  </w:r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h można zauważyć pewne schematy, które mocno wpływają na emocje odbiorców. Autorzy antyukraińskich treści często odwołują się do historii – zwłaszcza do </w:t>
                  </w:r>
                  <w:proofErr w:type="spellStart"/>
                  <w:r w:rsidRPr="00347B19">
                    <w:rPr>
                      <w:rFonts w:ascii="Lora" w:eastAsia="Lora" w:hAnsi="Lora" w:cs="Lora"/>
                      <w:color w:val="0F3566"/>
                    </w:rPr>
                    <w:t>banderyzmu</w:t>
                  </w:r>
                  <w:proofErr w:type="spellEnd"/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 – który staje się filtrem do interpretowania bieżących wydarzeń. Takie zestawienie przeszłoś</w:t>
                  </w:r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ci z teraźniejszością napędza negatywne emocje internautów. </w:t>
                  </w:r>
                </w:sdtContent>
              </w:sdt>
            </w:sdtContent>
          </w:sdt>
        </w:p>
      </w:sdtContent>
    </w:sdt>
    <w:sdt>
      <w:sdtPr>
        <w:tag w:val="goog_rdk_9"/>
        <w:id w:val="583583164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7"/>
              <w:id w:val="-1655052522"/>
            </w:sdtPr>
            <w:sdtEndPr/>
            <w:sdtContent>
              <w:sdt>
                <w:sdtPr>
                  <w:tag w:val="goog_rdk_8"/>
                  <w:id w:val="-1754066344"/>
                </w:sdtPr>
                <w:sdtEndPr/>
                <w:sdtContent/>
              </w:sdt>
            </w:sdtContent>
          </w:sdt>
        </w:p>
      </w:sdtContent>
    </w:sdt>
    <w:sdt>
      <w:sdtPr>
        <w:tag w:val="goog_rdk_12"/>
        <w:id w:val="769727393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10"/>
              <w:id w:val="-333808144"/>
            </w:sdtPr>
            <w:sdtEndPr/>
            <w:sdtContent>
              <w:sdt>
                <w:sdtPr>
                  <w:tag w:val="goog_rdk_11"/>
                  <w:id w:val="-1692715842"/>
                </w:sdtPr>
                <w:sdtEndPr/>
                <w:sdtContent>
                  <w:r w:rsidRPr="00347B19">
                    <w:rPr>
                      <w:rFonts w:ascii="Lora" w:eastAsia="Lora" w:hAnsi="Lora" w:cs="Lora"/>
                      <w:color w:val="0F3566"/>
                    </w:rPr>
                    <w:t>Kolejnym wątkiem jest podważanie wiarygodności mediów głównego nurtu. Pojawiają się oskarżenia o cenzurę, manipulację i „ukrywanie prawdy” na temat Ukrainy. W ten sposób autorzy prób</w:t>
                  </w:r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ują przekonać odbiorców, że tylko „alternatywne” kanały informacyjne pokazują rzeczywistość taką, jaka jest. Krytykują także polski oraz ukraiński rząd, przedstawiając ich działania jako szkodliwe dla obywateli. </w:t>
                  </w:r>
                </w:sdtContent>
              </w:sdt>
            </w:sdtContent>
          </w:sdt>
        </w:p>
      </w:sdtContent>
    </w:sdt>
    <w:sdt>
      <w:sdtPr>
        <w:tag w:val="goog_rdk_15"/>
        <w:id w:val="863693597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13"/>
              <w:id w:val="-1615021793"/>
            </w:sdtPr>
            <w:sdtEndPr/>
            <w:sdtContent>
              <w:sdt>
                <w:sdtPr>
                  <w:tag w:val="goog_rdk_14"/>
                  <w:id w:val="-1445661567"/>
                </w:sdtPr>
                <w:sdtEndPr/>
                <w:sdtContent/>
              </w:sdt>
            </w:sdtContent>
          </w:sdt>
        </w:p>
      </w:sdtContent>
    </w:sdt>
    <w:sdt>
      <w:sdtPr>
        <w:tag w:val="goog_rdk_18"/>
        <w:id w:val="-958627023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16"/>
              <w:id w:val="-1987301527"/>
            </w:sdtPr>
            <w:sdtEndPr/>
            <w:sdtContent>
              <w:sdt>
                <w:sdtPr>
                  <w:tag w:val="goog_rdk_17"/>
                  <w:id w:val="-701595394"/>
                </w:sdtPr>
                <w:sdtEndPr/>
                <w:sdtContent>
                  <w:r w:rsidRPr="00347B19">
                    <w:rPr>
                      <w:rFonts w:ascii="Lora" w:eastAsia="Lora" w:hAnsi="Lora" w:cs="Lora"/>
                      <w:color w:val="0F3566"/>
                    </w:rPr>
                    <w:t>Partią, która otwarcie podtrzy</w:t>
                  </w:r>
                  <w:r w:rsidRPr="00347B19">
                    <w:rPr>
                      <w:rFonts w:ascii="Lora" w:eastAsia="Lora" w:hAnsi="Lora" w:cs="Lora"/>
                      <w:color w:val="0F3566"/>
                    </w:rPr>
                    <w:t xml:space="preserve">muje krytyczne stanowisko wobec Ukrainy, pozostaje Konfederacja. Jej obecność w tego typu przekazach nadaje im dodatkowy kontekst polityczny i wzmacnia poczucie legitymizacji antyukraińskich przekazów. </w:t>
                  </w:r>
                </w:sdtContent>
              </w:sdt>
            </w:sdtContent>
          </w:sdt>
        </w:p>
      </w:sdtContent>
    </w:sdt>
    <w:sdt>
      <w:sdtPr>
        <w:tag w:val="goog_rdk_21"/>
        <w:id w:val="593812179"/>
      </w:sdtPr>
      <w:sdtEndPr/>
      <w:sdtContent>
        <w:p w:rsidR="00716B39" w:rsidRPr="00347B19" w:rsidRDefault="000C0CF9">
          <w:pPr>
            <w:spacing w:after="0" w:line="276" w:lineRule="auto"/>
            <w:jc w:val="both"/>
            <w:rPr>
              <w:rFonts w:ascii="Lora" w:eastAsia="Lora" w:hAnsi="Lora" w:cs="Lora"/>
              <w:color w:val="0F3566"/>
            </w:rPr>
          </w:pPr>
          <w:sdt>
            <w:sdtPr>
              <w:tag w:val="goog_rdk_19"/>
              <w:id w:val="-1044164273"/>
            </w:sdtPr>
            <w:sdtEndPr/>
            <w:sdtContent>
              <w:sdt>
                <w:sdtPr>
                  <w:tag w:val="goog_rdk_20"/>
                  <w:id w:val="1219769791"/>
                </w:sdtPr>
                <w:sdtEndPr/>
                <w:sdtContent/>
              </w:sdt>
            </w:sdtContent>
          </w:sdt>
        </w:p>
      </w:sdtContent>
    </w:sdt>
    <w:p w:rsidR="00716B39" w:rsidRDefault="000C0CF9">
      <w:pPr>
        <w:spacing w:after="0" w:line="276" w:lineRule="auto"/>
        <w:jc w:val="both"/>
        <w:rPr>
          <w:rFonts w:ascii="Lora" w:eastAsia="Lora" w:hAnsi="Lora" w:cs="Lora"/>
          <w:color w:val="0F3566"/>
        </w:rPr>
      </w:pPr>
      <w:sdt>
        <w:sdtPr>
          <w:tag w:val="goog_rdk_22"/>
          <w:id w:val="-1496650032"/>
        </w:sdtPr>
        <w:sdtEndPr/>
        <w:sdtContent>
          <w:sdt>
            <w:sdtPr>
              <w:tag w:val="goog_rdk_23"/>
              <w:id w:val="472577463"/>
            </w:sdtPr>
            <w:sdtEndPr/>
            <w:sdtContent>
              <w:r w:rsidRPr="00347B19">
                <w:rPr>
                  <w:rFonts w:ascii="Lora" w:eastAsia="Lora" w:hAnsi="Lora" w:cs="Lora"/>
                  <w:color w:val="0F3566"/>
                </w:rPr>
                <w:t>W postach zupełnie pomijany jest wątek n</w:t>
              </w:r>
              <w:r w:rsidRPr="00347B19">
                <w:rPr>
                  <w:rFonts w:ascii="Lora" w:eastAsia="Lora" w:hAnsi="Lora" w:cs="Lora"/>
                  <w:color w:val="0F3566"/>
                </w:rPr>
                <w:t>apaści Rosji na Ukrainę i związanej z tym osobistej tragedii milionów emigrantów zmuszonych do ucieczki przez wojnę.”</w:t>
              </w:r>
            </w:sdtContent>
          </w:sdt>
        </w:sdtContent>
      </w:sdt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F3566"/>
        </w:rPr>
      </w:pPr>
      <w:r>
        <w:rPr>
          <w:rFonts w:ascii="Lora" w:eastAsia="Lora" w:hAnsi="Lora" w:cs="Lora"/>
          <w:i/>
          <w:color w:val="0F3566"/>
        </w:rPr>
        <w:t>Projekt współfinansowany ze środków Polsko-Amerykańskiej Fundacji Wolności w ramach programu Wspieramy Ukrainę, realizowanego przez Fu</w:t>
      </w:r>
      <w:r>
        <w:rPr>
          <w:rFonts w:ascii="Lora" w:eastAsia="Lora" w:hAnsi="Lora" w:cs="Lora"/>
          <w:i/>
          <w:color w:val="0F3566"/>
        </w:rPr>
        <w:t>ndację Edukacja dla Demokracji.</w:t>
      </w:r>
    </w:p>
    <w:p w:rsidR="00716B39" w:rsidRDefault="000C0CF9">
      <w:pPr>
        <w:spacing w:before="240" w:after="240" w:line="276" w:lineRule="auto"/>
        <w:jc w:val="both"/>
        <w:rPr>
          <w:rFonts w:ascii="Lora" w:eastAsia="Lora" w:hAnsi="Lora" w:cs="Lora"/>
          <w:color w:val="073763"/>
          <w:highlight w:val="white"/>
        </w:rPr>
      </w:pPr>
      <w:r>
        <w:rPr>
          <w:rFonts w:ascii="Lora" w:eastAsia="Lora" w:hAnsi="Lora" w:cs="Lora"/>
          <w:color w:val="0F3566"/>
        </w:rPr>
        <w:t>&gt;</w:t>
      </w:r>
      <w:hyperlink r:id="rId14">
        <w:r>
          <w:rPr>
            <w:rFonts w:ascii="Lora" w:eastAsia="Lora" w:hAnsi="Lora" w:cs="Lora"/>
            <w:b/>
            <w:color w:val="1155CC"/>
            <w:highlight w:val="white"/>
            <w:u w:val="single"/>
          </w:rPr>
          <w:t>PEŁNY RAPORT</w:t>
        </w:r>
      </w:hyperlink>
    </w:p>
    <w:p w:rsidR="00716B39" w:rsidRDefault="000C0CF9">
      <w:pPr>
        <w:spacing w:before="240" w:after="240" w:line="276" w:lineRule="auto"/>
        <w:rPr>
          <w:rFonts w:ascii="Lora" w:eastAsia="Lora" w:hAnsi="Lora" w:cs="Lora"/>
          <w:color w:val="073763"/>
          <w:sz w:val="20"/>
          <w:szCs w:val="20"/>
        </w:rPr>
      </w:pPr>
      <w:r>
        <w:rPr>
          <w:rFonts w:ascii="Lora" w:eastAsia="Lora" w:hAnsi="Lora" w:cs="Lora"/>
          <w:color w:val="073763"/>
          <w:sz w:val="20"/>
          <w:szCs w:val="20"/>
        </w:rPr>
        <w:t>Więcej informacji:</w:t>
      </w:r>
    </w:p>
    <w:p w:rsidR="00716B39" w:rsidRDefault="000C0CF9">
      <w:pPr>
        <w:spacing w:before="240" w:after="240" w:line="276" w:lineRule="auto"/>
        <w:rPr>
          <w:rFonts w:ascii="Lora" w:eastAsia="Lora" w:hAnsi="Lora" w:cs="Lora"/>
          <w:color w:val="073763"/>
          <w:sz w:val="20"/>
          <w:szCs w:val="20"/>
          <w:highlight w:val="white"/>
        </w:rPr>
      </w:pPr>
      <w:r>
        <w:rPr>
          <w:rFonts w:ascii="Lora" w:eastAsia="Lora" w:hAnsi="Lora" w:cs="Lora"/>
          <w:b/>
          <w:color w:val="073763"/>
          <w:sz w:val="20"/>
          <w:szCs w:val="20"/>
          <w:highlight w:val="white"/>
        </w:rPr>
        <w:lastRenderedPageBreak/>
        <w:t>Stowarzyszenie Demagog:</w:t>
      </w:r>
      <w:r>
        <w:rPr>
          <w:rFonts w:ascii="Lora" w:eastAsia="Lora" w:hAnsi="Lora" w:cs="Lora"/>
          <w:b/>
          <w:color w:val="073763"/>
          <w:sz w:val="20"/>
          <w:szCs w:val="20"/>
          <w:highlight w:val="white"/>
        </w:rPr>
        <w:br/>
      </w:r>
      <w:r>
        <w:rPr>
          <w:rFonts w:ascii="Lora" w:eastAsia="Lora" w:hAnsi="Lora" w:cs="Lora"/>
          <w:color w:val="073763"/>
          <w:sz w:val="20"/>
          <w:szCs w:val="20"/>
          <w:highlight w:val="white"/>
        </w:rPr>
        <w:t xml:space="preserve">Aleksandra </w:t>
      </w:r>
      <w:proofErr w:type="spellStart"/>
      <w:r>
        <w:rPr>
          <w:rFonts w:ascii="Lora" w:eastAsia="Lora" w:hAnsi="Lora" w:cs="Lora"/>
          <w:color w:val="073763"/>
          <w:sz w:val="20"/>
          <w:szCs w:val="20"/>
          <w:highlight w:val="white"/>
        </w:rPr>
        <w:t>Żychska</w:t>
      </w:r>
      <w:proofErr w:type="spellEnd"/>
      <w:r>
        <w:rPr>
          <w:rFonts w:ascii="Lora" w:eastAsia="Lora" w:hAnsi="Lora" w:cs="Lora"/>
          <w:color w:val="073763"/>
          <w:sz w:val="20"/>
          <w:szCs w:val="20"/>
          <w:highlight w:val="white"/>
        </w:rPr>
        <w:br/>
      </w:r>
      <w:hyperlink r:id="rId15">
        <w:r>
          <w:rPr>
            <w:rFonts w:ascii="Lora" w:eastAsia="Lora" w:hAnsi="Lora" w:cs="Lora"/>
            <w:color w:val="1155CC"/>
            <w:sz w:val="20"/>
            <w:szCs w:val="20"/>
            <w:highlight w:val="white"/>
            <w:u w:val="single"/>
          </w:rPr>
          <w:t>aleksandra.zychska@demagog.org.pl</w:t>
        </w:r>
      </w:hyperlink>
      <w:r>
        <w:rPr>
          <w:rFonts w:ascii="Lora" w:eastAsia="Lora" w:hAnsi="Lora" w:cs="Lora"/>
          <w:color w:val="073763"/>
          <w:sz w:val="20"/>
          <w:szCs w:val="20"/>
          <w:highlight w:val="white"/>
        </w:rPr>
        <w:br/>
      </w:r>
      <w:r>
        <w:rPr>
          <w:rFonts w:ascii="Lora" w:eastAsia="Lora" w:hAnsi="Lora" w:cs="Lora"/>
          <w:color w:val="073763"/>
          <w:sz w:val="20"/>
          <w:szCs w:val="20"/>
          <w:highlight w:val="white"/>
        </w:rPr>
        <w:t>tel.: +48 608 113 123</w:t>
      </w:r>
      <w:r>
        <w:rPr>
          <w:noProof/>
          <w:lang w:val="pl-PL"/>
        </w:rPr>
        <w:drawing>
          <wp:anchor distT="114300" distB="114300" distL="114300" distR="114300" simplePos="0" relativeHeight="251658240" behindDoc="1" locked="0" layoutInCell="1" hidden="0" allowOverlap="1" wp14:anchorId="012C938A" wp14:editId="2624CF6E">
            <wp:simplePos x="0" y="0"/>
            <wp:positionH relativeFrom="column">
              <wp:posOffset>654848</wp:posOffset>
            </wp:positionH>
            <wp:positionV relativeFrom="paragraph">
              <wp:posOffset>2228850</wp:posOffset>
            </wp:positionV>
            <wp:extent cx="4809173" cy="1533251"/>
            <wp:effectExtent l="0" t="0" r="0" b="0"/>
            <wp:wrapNone/>
            <wp:docPr id="144129454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9173" cy="15332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16B39">
      <w:headerReference w:type="default" r:id="rId17"/>
      <w:footerReference w:type="default" r:id="rId18"/>
      <w:headerReference w:type="first" r:id="rId19"/>
      <w:footerReference w:type="first" r:id="rId20"/>
      <w:pgSz w:w="11906" w:h="16838"/>
      <w:pgMar w:top="1417" w:right="1134" w:bottom="1118" w:left="1134" w:header="709" w:footer="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CF9" w:rsidRDefault="000C0CF9">
      <w:pPr>
        <w:spacing w:after="0" w:line="240" w:lineRule="auto"/>
      </w:pPr>
      <w:r>
        <w:separator/>
      </w:r>
    </w:p>
  </w:endnote>
  <w:endnote w:type="continuationSeparator" w:id="0">
    <w:p w:rsidR="000C0CF9" w:rsidRDefault="000C0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olos Text">
    <w:charset w:val="00"/>
    <w:family w:val="auto"/>
    <w:pitch w:val="default"/>
  </w:font>
  <w:font w:name="Lora">
    <w:charset w:val="00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B39" w:rsidRDefault="00716B3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B39" w:rsidRDefault="00716B3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CF9" w:rsidRDefault="000C0CF9">
      <w:pPr>
        <w:spacing w:after="0" w:line="240" w:lineRule="auto"/>
      </w:pPr>
      <w:r>
        <w:separator/>
      </w:r>
    </w:p>
  </w:footnote>
  <w:footnote w:type="continuationSeparator" w:id="0">
    <w:p w:rsidR="000C0CF9" w:rsidRDefault="000C0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B39" w:rsidRDefault="00716B39">
    <w:pP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B39" w:rsidRDefault="000C0CF9">
    <w:pPr>
      <w:jc w:val="center"/>
    </w:pPr>
    <w:r>
      <w:rPr>
        <w:noProof/>
        <w:lang w:val="pl-PL"/>
      </w:rPr>
      <w:drawing>
        <wp:inline distT="114300" distB="114300" distL="114300" distR="114300">
          <wp:extent cx="4866105" cy="674052"/>
          <wp:effectExtent l="0" t="0" r="0" b="0"/>
          <wp:docPr id="144129454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66105" cy="6740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3619"/>
    <w:multiLevelType w:val="multilevel"/>
    <w:tmpl w:val="5D2A6E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16B39"/>
    <w:rsid w:val="000C0CF9"/>
    <w:rsid w:val="00347B19"/>
    <w:rsid w:val="0071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MGHeading">
    <w:name w:val="DMG Heading"/>
    <w:basedOn w:val="Normalny"/>
    <w:link w:val="DMGHeadingChar"/>
    <w:qFormat/>
    <w:rsid w:val="00002C69"/>
    <w:pPr>
      <w:spacing w:after="720"/>
    </w:pPr>
    <w:rPr>
      <w:rFonts w:ascii="Golos Text" w:hAnsi="Golos Text" w:cs="Golos Text"/>
      <w:noProof/>
      <w:color w:val="2E2E2E"/>
      <w:sz w:val="48"/>
      <w:szCs w:val="48"/>
    </w:rPr>
  </w:style>
  <w:style w:type="character" w:customStyle="1" w:styleId="DMGHeadingChar">
    <w:name w:val="DMG Heading Char"/>
    <w:basedOn w:val="Domylnaczcionkaakapitu"/>
    <w:link w:val="DMGHeading"/>
    <w:rsid w:val="00002C69"/>
    <w:rPr>
      <w:rFonts w:ascii="Golos Text" w:hAnsi="Golos Text" w:cs="Golos Text"/>
      <w:noProof/>
      <w:color w:val="2E2E2E"/>
      <w:sz w:val="48"/>
      <w:szCs w:val="48"/>
    </w:rPr>
  </w:style>
  <w:style w:type="paragraph" w:customStyle="1" w:styleId="DMGbodytext">
    <w:name w:val="DMG body text"/>
    <w:basedOn w:val="DMGHeading"/>
    <w:link w:val="DMGbodytextChar"/>
    <w:qFormat/>
    <w:rsid w:val="00A03187"/>
    <w:pPr>
      <w:spacing w:after="120"/>
      <w:jc w:val="both"/>
    </w:pPr>
    <w:rPr>
      <w:rFonts w:ascii="Lora" w:hAnsi="Lora"/>
      <w:sz w:val="22"/>
      <w:szCs w:val="22"/>
    </w:rPr>
  </w:style>
  <w:style w:type="character" w:customStyle="1" w:styleId="DMGbodytextChar">
    <w:name w:val="DMG body text Char"/>
    <w:basedOn w:val="DMGHeadingChar"/>
    <w:link w:val="DMGbodytext"/>
    <w:rsid w:val="00A03187"/>
    <w:rPr>
      <w:rFonts w:ascii="Lora" w:hAnsi="Lora" w:cs="Golos Text"/>
      <w:noProof/>
      <w:color w:val="2E2E2E"/>
      <w:sz w:val="48"/>
      <w:szCs w:val="48"/>
    </w:rPr>
  </w:style>
  <w:style w:type="paragraph" w:styleId="Nagwek">
    <w:name w:val="header"/>
    <w:basedOn w:val="Normalny"/>
    <w:link w:val="NagwekZnak"/>
    <w:uiPriority w:val="99"/>
    <w:unhideWhenUsed/>
    <w:rsid w:val="00002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2C69"/>
  </w:style>
  <w:style w:type="paragraph" w:styleId="Stopka">
    <w:name w:val="footer"/>
    <w:basedOn w:val="Normalny"/>
    <w:link w:val="StopkaZnak"/>
    <w:uiPriority w:val="99"/>
    <w:unhideWhenUsed/>
    <w:rsid w:val="00002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2C69"/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MGHeading">
    <w:name w:val="DMG Heading"/>
    <w:basedOn w:val="Normalny"/>
    <w:link w:val="DMGHeadingChar"/>
    <w:qFormat/>
    <w:rsid w:val="00002C69"/>
    <w:pPr>
      <w:spacing w:after="720"/>
    </w:pPr>
    <w:rPr>
      <w:rFonts w:ascii="Golos Text" w:hAnsi="Golos Text" w:cs="Golos Text"/>
      <w:noProof/>
      <w:color w:val="2E2E2E"/>
      <w:sz w:val="48"/>
      <w:szCs w:val="48"/>
    </w:rPr>
  </w:style>
  <w:style w:type="character" w:customStyle="1" w:styleId="DMGHeadingChar">
    <w:name w:val="DMG Heading Char"/>
    <w:basedOn w:val="Domylnaczcionkaakapitu"/>
    <w:link w:val="DMGHeading"/>
    <w:rsid w:val="00002C69"/>
    <w:rPr>
      <w:rFonts w:ascii="Golos Text" w:hAnsi="Golos Text" w:cs="Golos Text"/>
      <w:noProof/>
      <w:color w:val="2E2E2E"/>
      <w:sz w:val="48"/>
      <w:szCs w:val="48"/>
    </w:rPr>
  </w:style>
  <w:style w:type="paragraph" w:customStyle="1" w:styleId="DMGbodytext">
    <w:name w:val="DMG body text"/>
    <w:basedOn w:val="DMGHeading"/>
    <w:link w:val="DMGbodytextChar"/>
    <w:qFormat/>
    <w:rsid w:val="00A03187"/>
    <w:pPr>
      <w:spacing w:after="120"/>
      <w:jc w:val="both"/>
    </w:pPr>
    <w:rPr>
      <w:rFonts w:ascii="Lora" w:hAnsi="Lora"/>
      <w:sz w:val="22"/>
      <w:szCs w:val="22"/>
    </w:rPr>
  </w:style>
  <w:style w:type="character" w:customStyle="1" w:styleId="DMGbodytextChar">
    <w:name w:val="DMG body text Char"/>
    <w:basedOn w:val="DMGHeadingChar"/>
    <w:link w:val="DMGbodytext"/>
    <w:rsid w:val="00A03187"/>
    <w:rPr>
      <w:rFonts w:ascii="Lora" w:hAnsi="Lora" w:cs="Golos Text"/>
      <w:noProof/>
      <w:color w:val="2E2E2E"/>
      <w:sz w:val="48"/>
      <w:szCs w:val="48"/>
    </w:rPr>
  </w:style>
  <w:style w:type="paragraph" w:styleId="Nagwek">
    <w:name w:val="header"/>
    <w:basedOn w:val="Normalny"/>
    <w:link w:val="NagwekZnak"/>
    <w:uiPriority w:val="99"/>
    <w:unhideWhenUsed/>
    <w:rsid w:val="00002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2C69"/>
  </w:style>
  <w:style w:type="paragraph" w:styleId="Stopka">
    <w:name w:val="footer"/>
    <w:basedOn w:val="Normalny"/>
    <w:link w:val="StopkaZnak"/>
    <w:uiPriority w:val="99"/>
    <w:unhideWhenUsed/>
    <w:rsid w:val="00002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2C69"/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cbos.pl/SPISKOM.POL/2025/K_013_25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cbos.pl/SPISKOM.POL/2025/K_013_25.PDF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pism.pl/publikacje/dezinformacja-i-propaganda-rosji-oraz-chin-w-kontekscie-wojny-na-ukraini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aleksandra.zychska@demagog.org.pl" TargetMode="External"/><Relationship Id="rId10" Type="http://schemas.openxmlformats.org/officeDocument/2006/relationships/hyperlink" Target="https://demagog.org.pl/analizy_i_raporty/raport-demagoga-i-imm-antyukrainska-propaganda-w-2024-roku/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bit.ly/3UN9CQz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3nGUIej4ympgV8SDLOUDGNM8QQ==">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1095</Words>
  <Characters>6572</Characters>
  <Application>Microsoft Office Word</Application>
  <DocSecurity>0</DocSecurity>
  <Lines>54</Lines>
  <Paragraphs>15</Paragraphs>
  <ScaleCrop>false</ScaleCrop>
  <Company/>
  <LinksUpToDate>false</LinksUpToDate>
  <CharactersWithSpaces>7652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Pszonka</dc:creator>
  <cp:lastModifiedBy>Joanna Rafał</cp:lastModifiedBy>
  <cp:revision>2</cp:revision>
  <dcterms:created xsi:type="dcterms:W3CDTF">2023-09-17T07:41:00Z</dcterms:created>
  <dcterms:modified xsi:type="dcterms:W3CDTF">2025-08-26T10:43:00Z</dcterms:modified>
</cp:coreProperties>
</file>